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BB2A" w14:textId="77777777" w:rsidR="00DF6E13" w:rsidRPr="00DF6E13" w:rsidRDefault="00DF6E13" w:rsidP="00DF6E13">
      <w:pPr>
        <w:pStyle w:val="NormalnyWeb"/>
        <w:rPr>
          <w:sz w:val="22"/>
          <w:szCs w:val="22"/>
        </w:rPr>
      </w:pPr>
      <w:r w:rsidRPr="00DF6E13">
        <w:rPr>
          <w:rFonts w:ascii="Lato" w:hAnsi="Lato" w:cs="Lato"/>
          <w:b/>
          <w:bCs/>
          <w:color w:val="222222"/>
          <w:sz w:val="22"/>
          <w:szCs w:val="22"/>
        </w:rPr>
        <w:t>Poznajmy BLISKO</w:t>
      </w:r>
      <w:r w:rsidRPr="00DF6E13">
        <w:rPr>
          <w:rFonts w:ascii="Lato" w:hAnsi="Lato" w:cs="Lato"/>
          <w:color w:val="222222"/>
          <w:sz w:val="22"/>
          <w:szCs w:val="22"/>
        </w:rPr>
        <w:br/>
      </w:r>
      <w:r w:rsidRPr="00DF6E13">
        <w:rPr>
          <w:rStyle w:val="Uwydatnienie"/>
          <w:rFonts w:ascii="Lato" w:hAnsi="Lato" w:cs="Lato"/>
          <w:color w:val="222222"/>
          <w:sz w:val="22"/>
          <w:szCs w:val="22"/>
        </w:rPr>
        <w:t>Kierunek interwencji 4.1. BLISKO –</w:t>
      </w:r>
      <w:r w:rsidRPr="00DF6E13">
        <w:rPr>
          <w:rFonts w:ascii="Lato" w:hAnsi="Lato" w:cs="Lato"/>
          <w:i/>
          <w:iCs/>
          <w:color w:val="222222"/>
          <w:sz w:val="22"/>
          <w:szCs w:val="22"/>
        </w:rPr>
        <w:br/>
      </w:r>
      <w:r w:rsidRPr="00DF6E13">
        <w:rPr>
          <w:rStyle w:val="Uwydatnienie"/>
          <w:rFonts w:ascii="Lato" w:hAnsi="Lato" w:cs="Lato"/>
          <w:color w:val="222222"/>
          <w:sz w:val="22"/>
          <w:szCs w:val="22"/>
        </w:rPr>
        <w:t>Biblioteka | Lokalność | Inicjatywy | Społeczność | Kooperacja | Oddolność</w:t>
      </w:r>
    </w:p>
    <w:p w14:paraId="39913118" w14:textId="77777777" w:rsidR="00DF6E13" w:rsidRPr="00DF6E13" w:rsidRDefault="00DF6E13" w:rsidP="00DF6E13">
      <w:pPr>
        <w:pStyle w:val="NormalnyWeb"/>
        <w:rPr>
          <w:sz w:val="22"/>
          <w:szCs w:val="22"/>
        </w:rPr>
      </w:pPr>
      <w:r w:rsidRPr="00DF6E13">
        <w:rPr>
          <w:rFonts w:ascii="Lato" w:hAnsi="Lato"/>
          <w:sz w:val="22"/>
          <w:szCs w:val="22"/>
        </w:rPr>
        <w:t xml:space="preserve">Celem BLISKO jest wzmocnienie roli bibliotek publicznych jako </w:t>
      </w:r>
      <w:r w:rsidRPr="00DF6E13">
        <w:rPr>
          <w:rStyle w:val="Pogrubienie"/>
          <w:rFonts w:ascii="Lato" w:hAnsi="Lato"/>
          <w:sz w:val="22"/>
          <w:szCs w:val="22"/>
        </w:rPr>
        <w:t>„</w:t>
      </w:r>
      <w:r w:rsidRPr="00DF6E13">
        <w:rPr>
          <w:rFonts w:ascii="Lato" w:hAnsi="Lato"/>
          <w:sz w:val="22"/>
          <w:szCs w:val="22"/>
        </w:rPr>
        <w:t>trzeciego miejsca” -</w:t>
      </w:r>
      <w:r w:rsidRPr="00DF6E13">
        <w:rPr>
          <w:rStyle w:val="Pogrubienie"/>
          <w:rFonts w:ascii="Lato" w:hAnsi="Lato"/>
          <w:sz w:val="22"/>
          <w:szCs w:val="22"/>
        </w:rPr>
        <w:t xml:space="preserve"> </w:t>
      </w:r>
      <w:r w:rsidRPr="00DF6E13">
        <w:rPr>
          <w:rFonts w:ascii="Lato" w:hAnsi="Lato"/>
          <w:sz w:val="22"/>
          <w:szCs w:val="22"/>
        </w:rPr>
        <w:t>lokalnego ośrodka życia społecznego, stanowiącego centrum dostępu do kultury i wiedzy</w:t>
      </w:r>
      <w:r w:rsidRPr="00DF6E13">
        <w:rPr>
          <w:rStyle w:val="Pogrubienie"/>
          <w:rFonts w:ascii="Lato" w:hAnsi="Lato"/>
          <w:sz w:val="22"/>
          <w:szCs w:val="22"/>
        </w:rPr>
        <w:t xml:space="preserve"> </w:t>
      </w:r>
      <w:r w:rsidRPr="00DF6E13">
        <w:rPr>
          <w:rFonts w:ascii="Lato" w:hAnsi="Lato"/>
          <w:sz w:val="22"/>
          <w:szCs w:val="22"/>
        </w:rPr>
        <w:t>oraz integrującego społeczność.</w:t>
      </w:r>
      <w:r w:rsidRPr="00DF6E13">
        <w:rPr>
          <w:rStyle w:val="Pogrubienie"/>
          <w:rFonts w:ascii="Lato" w:hAnsi="Lato"/>
          <w:sz w:val="22"/>
          <w:szCs w:val="22"/>
        </w:rPr>
        <w:t xml:space="preserve"> </w:t>
      </w:r>
      <w:r w:rsidRPr="00DF6E13">
        <w:rPr>
          <w:rFonts w:ascii="Lato" w:hAnsi="Lato"/>
          <w:sz w:val="22"/>
          <w:szCs w:val="22"/>
        </w:rPr>
        <w:t>Program BLISKO  służy wsparciu  bibliotek publicznych w podnoszeniu kompetencji ich pracowników oraz budowaniu i wzmacnianiu lokalnych partnerstw na rzecz rozwoju czytelnictwa.</w:t>
      </w:r>
      <w:r w:rsidRPr="00DF6E13">
        <w:rPr>
          <w:rFonts w:ascii="Lato" w:hAnsi="Lato" w:cs="Lato"/>
          <w:color w:val="222222"/>
          <w:sz w:val="22"/>
          <w:szCs w:val="22"/>
        </w:rPr>
        <w:br/>
      </w:r>
    </w:p>
    <w:p w14:paraId="121542DC" w14:textId="77777777" w:rsidR="00DF6E13" w:rsidRPr="00DF6E13" w:rsidRDefault="00DF6E13" w:rsidP="00DF6E13">
      <w:pPr>
        <w:pStyle w:val="NormalnyWeb"/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>BLISKO służy:</w:t>
      </w:r>
    </w:p>
    <w:p w14:paraId="54B29CEE" w14:textId="77777777" w:rsidR="00DF6E13" w:rsidRPr="00DF6E13" w:rsidRDefault="00DF6E13" w:rsidP="00DF6E13">
      <w:pPr>
        <w:pStyle w:val="NormalnyWeb"/>
        <w:numPr>
          <w:ilvl w:val="0"/>
          <w:numId w:val="1"/>
        </w:numPr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>rozwijaniu lokalnych partnerstw, w których wiodącym podmiotem jest biblioteka jako przestrzeń do spotkań, wspólnej pracy, działalności twórczej, promowania aktywności czytelniczej oraz odpoczynku i integracji społeczności;</w:t>
      </w:r>
    </w:p>
    <w:p w14:paraId="633B3A57" w14:textId="77777777" w:rsidR="00DF6E13" w:rsidRPr="00DF6E13" w:rsidRDefault="00DF6E13" w:rsidP="00DF6E13">
      <w:pPr>
        <w:pStyle w:val="NormalnyWeb"/>
        <w:numPr>
          <w:ilvl w:val="0"/>
          <w:numId w:val="1"/>
        </w:numPr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 xml:space="preserve"> wzmacnianiu kompetencji pracowników bibliotek, pozwalających na rozpoznanie potrzeb i potencjału kulturowego członków lokalnych społeczności, a w konsekwencji na efektywną z nimi współpracę i inicjowanie działań kulturalnych wokół bibliotek;</w:t>
      </w:r>
    </w:p>
    <w:p w14:paraId="7239FA50" w14:textId="77777777" w:rsidR="00DF6E13" w:rsidRPr="00DF6E13" w:rsidRDefault="00DF6E13" w:rsidP="00DF6E13">
      <w:pPr>
        <w:pStyle w:val="NormalnyWeb"/>
        <w:numPr>
          <w:ilvl w:val="0"/>
          <w:numId w:val="1"/>
        </w:numPr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 xml:space="preserve"> wymianie doświadczeń z innymi beneficjentami w skali kraju;</w:t>
      </w:r>
    </w:p>
    <w:p w14:paraId="3544BFAE" w14:textId="77777777" w:rsidR="00DF6E13" w:rsidRPr="00DF6E13" w:rsidRDefault="00DF6E13" w:rsidP="00DF6E13">
      <w:pPr>
        <w:pStyle w:val="NormalnyWeb"/>
        <w:numPr>
          <w:ilvl w:val="0"/>
          <w:numId w:val="1"/>
        </w:numPr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 xml:space="preserve"> włączeniu nowych środowisk w działalność bibliotek i aktywizacji społeczności lokalnych.</w:t>
      </w:r>
    </w:p>
    <w:p w14:paraId="546953E0" w14:textId="77777777" w:rsidR="00DF6E13" w:rsidRPr="00DF6E13" w:rsidRDefault="00DF6E13" w:rsidP="00DF6E13">
      <w:pPr>
        <w:pStyle w:val="NormalnyWeb"/>
        <w:rPr>
          <w:rFonts w:ascii="Lato" w:hAnsi="Lato" w:cs="Lato"/>
          <w:b/>
          <w:bCs/>
          <w:color w:val="222222"/>
          <w:sz w:val="22"/>
          <w:szCs w:val="22"/>
        </w:rPr>
      </w:pPr>
      <w:bookmarkStart w:id="0" w:name="_Hlk139369580"/>
      <w:r w:rsidRPr="00DF6E13">
        <w:rPr>
          <w:rFonts w:ascii="Lato" w:hAnsi="Lato" w:cs="Lato"/>
          <w:b/>
          <w:bCs/>
          <w:color w:val="222222"/>
          <w:sz w:val="22"/>
          <w:szCs w:val="22"/>
        </w:rPr>
        <w:t>Sejneńska Inicjatywa Lokalna „Para-buch! Biblioteka – w ruch!” w ramach BLISKO</w:t>
      </w:r>
    </w:p>
    <w:bookmarkEnd w:id="0"/>
    <w:p w14:paraId="67C3A7A4" w14:textId="77777777" w:rsidR="00DF6E13" w:rsidRPr="00DF6E13" w:rsidRDefault="00DF6E13" w:rsidP="00DF6E13">
      <w:pPr>
        <w:pStyle w:val="NormalnyWeb"/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>Przez 2 lata, razem z partnerami projektu, realizować  będziemy projekty animacyjno-edukacyjne,  promujące czytelnictwo i aktywizujące społeczność lokalną. Projekt rozpoczniemy od szkoleń, które przygotują nas do realizacji poszczególnych działań oraz podniosą nasze kompetencje diagnostyczne, komunikacyjne i twórcze. W pierwszym etapie opracujemy diagnozę,  dzięki której rozpoznamy potrzeby oraz potencjał kulturowy naszej społeczności. Na jej bazie będziemy projektować dalszą aktywność biblioteki.</w:t>
      </w:r>
    </w:p>
    <w:p w14:paraId="580334AA" w14:textId="77777777" w:rsidR="00DF6E13" w:rsidRPr="00DF6E13" w:rsidRDefault="00DF6E13" w:rsidP="00DF6E13">
      <w:pPr>
        <w:pStyle w:val="NormalnyWeb"/>
        <w:rPr>
          <w:rFonts w:ascii="Lato" w:hAnsi="Lato" w:cs="Lato"/>
          <w:color w:val="222222"/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>W 2024 r.,  oprócz szkoleń oraz realizacji projektów animacyjno - edukacyjnych, ogłosimy konkurs regrantingowy na realizację inicjatyw, kierowanych do biblioteki przez społeczność lokalną i razem ze społecznością je zrealizujemy.</w:t>
      </w:r>
    </w:p>
    <w:p w14:paraId="0E0841CA" w14:textId="77777777" w:rsidR="00DF6E13" w:rsidRPr="00DF6E13" w:rsidRDefault="00DF6E13" w:rsidP="00DF6E13">
      <w:pPr>
        <w:pStyle w:val="NormalnyWeb"/>
        <w:rPr>
          <w:sz w:val="22"/>
          <w:szCs w:val="22"/>
        </w:rPr>
      </w:pPr>
      <w:r w:rsidRPr="00DF6E13">
        <w:rPr>
          <w:rFonts w:ascii="Lato" w:hAnsi="Lato" w:cs="Lato"/>
          <w:color w:val="222222"/>
          <w:sz w:val="22"/>
          <w:szCs w:val="22"/>
        </w:rPr>
        <w:t xml:space="preserve">Na dwuletnią realizację zadania pn. Sejneńska Inicjatywa Lokalna „Para-buch! Biblioteka – w ruch!” Biblioteka Publiczna w Sejnach pozyskała </w:t>
      </w:r>
      <w:r w:rsidRPr="00DF6E13">
        <w:rPr>
          <w:rFonts w:ascii="Lato" w:hAnsi="Lato" w:cs="Lato"/>
          <w:b/>
          <w:bCs/>
          <w:color w:val="222222"/>
          <w:sz w:val="22"/>
          <w:szCs w:val="22"/>
        </w:rPr>
        <w:t>119 600,00 zł</w:t>
      </w:r>
      <w:r w:rsidRPr="00DF6E13">
        <w:rPr>
          <w:rFonts w:ascii="Lato" w:hAnsi="Lato" w:cs="Lato"/>
          <w:color w:val="222222"/>
          <w:sz w:val="22"/>
          <w:szCs w:val="22"/>
        </w:rPr>
        <w:t xml:space="preserve"> z Narodowego Centrum Kultury w ramach konkursu „BLISKO”, przy zaplanowanym wkładzie własnym oszacowanym na </w:t>
      </w:r>
      <w:r w:rsidRPr="00DF6E13">
        <w:rPr>
          <w:rFonts w:ascii="Lato" w:hAnsi="Lato" w:cs="Lato"/>
          <w:b/>
          <w:bCs/>
          <w:color w:val="222222"/>
          <w:sz w:val="22"/>
          <w:szCs w:val="22"/>
        </w:rPr>
        <w:t>14 100,00 zł</w:t>
      </w:r>
      <w:r w:rsidRPr="00DF6E13">
        <w:rPr>
          <w:rFonts w:ascii="Lato" w:hAnsi="Lato" w:cs="Lato"/>
          <w:color w:val="222222"/>
          <w:sz w:val="22"/>
          <w:szCs w:val="22"/>
        </w:rPr>
        <w:t xml:space="preserve">. Wartość całego projektu to </w:t>
      </w:r>
      <w:r w:rsidRPr="00DF6E13">
        <w:rPr>
          <w:rFonts w:ascii="Lato" w:hAnsi="Lato" w:cs="Lato"/>
          <w:b/>
          <w:bCs/>
          <w:color w:val="222222"/>
          <w:sz w:val="22"/>
          <w:szCs w:val="22"/>
        </w:rPr>
        <w:t>133 700,00 zł</w:t>
      </w:r>
      <w:r w:rsidRPr="00DF6E13">
        <w:rPr>
          <w:rFonts w:ascii="Lato" w:hAnsi="Lato" w:cs="Lato"/>
          <w:color w:val="222222"/>
          <w:sz w:val="22"/>
          <w:szCs w:val="22"/>
        </w:rPr>
        <w:t>.</w:t>
      </w:r>
    </w:p>
    <w:p w14:paraId="476B753D" w14:textId="77777777" w:rsidR="00DF6E13" w:rsidRPr="00DF6E13" w:rsidRDefault="00DF6E13" w:rsidP="00DF6E13">
      <w:pPr>
        <w:pStyle w:val="NormalnyWeb"/>
        <w:rPr>
          <w:rFonts w:ascii="Lato" w:hAnsi="Lato" w:cs="Lato"/>
          <w:color w:val="222222"/>
          <w:sz w:val="22"/>
          <w:szCs w:val="22"/>
        </w:rPr>
      </w:pPr>
    </w:p>
    <w:p w14:paraId="007D8BBE" w14:textId="49D16B07" w:rsidR="00DF6E13" w:rsidRDefault="00DF6E13" w:rsidP="00DF6E13">
      <w:pPr>
        <w:pStyle w:val="NormalnyWeb"/>
      </w:pPr>
    </w:p>
    <w:p w14:paraId="6B669EAF" w14:textId="2A1225B3" w:rsidR="00DF6E13" w:rsidRDefault="00FD54DD" w:rsidP="00DF6E13">
      <w:pPr>
        <w:pStyle w:val="NormalnyWeb"/>
        <w:rPr>
          <w:rFonts w:ascii="Lato" w:hAnsi="Lato" w:cs="Lato"/>
          <w:color w:val="222222"/>
        </w:rPr>
      </w:pPr>
      <w:r>
        <w:rPr>
          <w:noProof/>
        </w:rPr>
        <w:drawing>
          <wp:inline distT="0" distB="0" distL="0" distR="0" wp14:anchorId="153D0FEF" wp14:editId="3821884F">
            <wp:extent cx="5760720" cy="11410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09CC" w14:textId="06DCA558" w:rsidR="00B24389" w:rsidRDefault="00B24389"/>
    <w:sectPr w:rsidR="00B2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B06"/>
    <w:multiLevelType w:val="multilevel"/>
    <w:tmpl w:val="3CF2758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646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3"/>
    <w:rsid w:val="00366F2F"/>
    <w:rsid w:val="00B24389"/>
    <w:rsid w:val="00DD530A"/>
    <w:rsid w:val="00DF6E13"/>
    <w:rsid w:val="00F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907"/>
  <w15:chartTrackingRefBased/>
  <w15:docId w15:val="{C9EDC8CF-DC21-4FEF-BFD2-AA99D7C5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F6E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DF6E13"/>
    <w:rPr>
      <w:i/>
      <w:iCs/>
    </w:rPr>
  </w:style>
  <w:style w:type="character" w:styleId="Pogrubienie">
    <w:name w:val="Strong"/>
    <w:basedOn w:val="Domylnaczcionkaakapitu"/>
    <w:rsid w:val="00DF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oddz1</dc:creator>
  <cp:keywords/>
  <dc:description/>
  <cp:lastModifiedBy>Ilona Polens</cp:lastModifiedBy>
  <cp:revision>2</cp:revision>
  <dcterms:created xsi:type="dcterms:W3CDTF">2023-08-09T10:20:00Z</dcterms:created>
  <dcterms:modified xsi:type="dcterms:W3CDTF">2023-08-09T10:20:00Z</dcterms:modified>
</cp:coreProperties>
</file>